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97" w:rsidRPr="008D3408" w:rsidRDefault="003D4897" w:rsidP="003D4897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ПАСПОРТ УСЛУГИ (ПРОЦЕССА) АО «</w:t>
      </w:r>
      <w:r>
        <w:rPr>
          <w:rFonts w:ascii="Arial" w:hAnsi="Arial" w:cs="Arial"/>
          <w:b/>
          <w:sz w:val="20"/>
          <w:szCs w:val="20"/>
          <w:lang w:eastAsia="ru-RU"/>
        </w:rPr>
        <w:t>УГЭС</w:t>
      </w:r>
      <w:r w:rsidRPr="008D3408">
        <w:rPr>
          <w:rFonts w:ascii="Arial" w:hAnsi="Arial" w:cs="Arial"/>
          <w:b/>
          <w:sz w:val="20"/>
          <w:szCs w:val="20"/>
          <w:lang w:eastAsia="ru-RU"/>
        </w:rPr>
        <w:t>»</w:t>
      </w:r>
    </w:p>
    <w:p w:rsidR="003D4897" w:rsidRDefault="003D4897" w:rsidP="003D4897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Технологическое присо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единение к электрическим сетям </w:t>
      </w:r>
      <w:r w:rsidRPr="008D3408">
        <w:rPr>
          <w:rFonts w:ascii="Arial" w:hAnsi="Arial" w:cs="Arial"/>
          <w:b/>
          <w:sz w:val="20"/>
          <w:szCs w:val="20"/>
          <w:lang w:eastAsia="ru-RU"/>
        </w:rPr>
        <w:t xml:space="preserve">АО </w:t>
      </w:r>
      <w:r>
        <w:rPr>
          <w:rFonts w:ascii="Arial" w:hAnsi="Arial" w:cs="Arial"/>
          <w:b/>
          <w:sz w:val="20"/>
          <w:szCs w:val="20"/>
          <w:lang w:eastAsia="ru-RU"/>
        </w:rPr>
        <w:t>«УГЭС»</w:t>
      </w:r>
    </w:p>
    <w:p w:rsidR="003D4897" w:rsidRDefault="003D4897" w:rsidP="003D4897">
      <w:pPr>
        <w:pStyle w:val="a6"/>
        <w:rPr>
          <w:rFonts w:ascii="Arial" w:hAnsi="Arial" w:cs="Arial"/>
          <w:sz w:val="20"/>
          <w:szCs w:val="20"/>
          <w:lang w:eastAsia="ru-RU"/>
        </w:rPr>
      </w:pPr>
    </w:p>
    <w:p w:rsidR="00EA036F" w:rsidRDefault="003D4897" w:rsidP="003D4897">
      <w:pPr>
        <w:pStyle w:val="a6"/>
        <w:ind w:right="-19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D3408">
        <w:rPr>
          <w:rFonts w:ascii="Arial" w:hAnsi="Arial" w:cs="Arial"/>
          <w:b/>
          <w:sz w:val="20"/>
          <w:szCs w:val="20"/>
          <w:lang w:eastAsia="ru-RU"/>
        </w:rPr>
        <w:t>Круг заявителей: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A036F" w:rsidRPr="005C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физические лица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а также юридические лица или индивидуальные предприниматели в целях технологического присоединения по</w:t>
      </w:r>
      <w:proofErr w:type="gramEnd"/>
      <w:r w:rsidR="00EA036F" w:rsidRPr="005C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второй или третьей категории надежности энергопринимающих устройств, максимальная мощность которых составляет до 150 к</w:t>
      </w:r>
      <w:proofErr w:type="gramStart"/>
      <w:r w:rsidR="00EA036F" w:rsidRPr="005C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 вкл</w:t>
      </w:r>
      <w:proofErr w:type="gramEnd"/>
      <w:r w:rsidR="00EA036F" w:rsidRPr="005C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ючительно (с учетом ранее присоединенных в данной точке присоединения энергопринимающих устройств), в случае, если технологическое присоединение энергопринимающих устройств осуществляется на уровне напряжения 0,4 кВ и ниже.</w:t>
      </w:r>
    </w:p>
    <w:p w:rsidR="003D4897" w:rsidRPr="008D3408" w:rsidRDefault="003D4897" w:rsidP="003D4897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Размер платы за предоставление услуги (процесса) и основание ее взимания: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на основании решени</w:t>
      </w:r>
      <w:r>
        <w:rPr>
          <w:rFonts w:ascii="Arial" w:hAnsi="Arial" w:cs="Arial"/>
          <w:sz w:val="20"/>
          <w:szCs w:val="20"/>
          <w:lang w:eastAsia="ru-RU"/>
        </w:rPr>
        <w:t>я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ДТПЭиЖКК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ЯНАО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в соответствии с П</w:t>
      </w:r>
      <w:r w:rsidRPr="008D3408">
        <w:rPr>
          <w:rFonts w:ascii="Arial" w:hAnsi="Arial" w:cs="Arial"/>
          <w:sz w:val="20"/>
          <w:szCs w:val="20"/>
          <w:lang w:eastAsia="ru-RU"/>
        </w:rPr>
        <w:t>равилами технологического присоединения</w:t>
      </w:r>
      <w:r>
        <w:rPr>
          <w:rFonts w:ascii="Arial" w:hAnsi="Arial" w:cs="Arial"/>
          <w:sz w:val="20"/>
          <w:szCs w:val="20"/>
          <w:lang w:eastAsia="ru-RU"/>
        </w:rPr>
        <w:t>*.</w:t>
      </w:r>
    </w:p>
    <w:p w:rsidR="003D4897" w:rsidRPr="008D3408" w:rsidRDefault="003D4897" w:rsidP="003D4897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 заявки лицом, намеревающимся осуществить технологическое присоединение принадлежащих ему энергопринимающих устройств.</w:t>
      </w:r>
    </w:p>
    <w:p w:rsidR="003D4897" w:rsidRPr="008D3408" w:rsidRDefault="003D4897" w:rsidP="003D4897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Результат оказания услуг</w:t>
      </w:r>
      <w:proofErr w:type="gramStart"/>
      <w:r w:rsidRPr="008D3408">
        <w:rPr>
          <w:rFonts w:ascii="Arial" w:hAnsi="Arial" w:cs="Arial"/>
          <w:b/>
          <w:sz w:val="20"/>
          <w:szCs w:val="20"/>
          <w:lang w:eastAsia="ru-RU"/>
        </w:rPr>
        <w:t>и(</w:t>
      </w:r>
      <w:proofErr w:type="gramEnd"/>
      <w:r w:rsidRPr="008D3408">
        <w:rPr>
          <w:rFonts w:ascii="Arial" w:hAnsi="Arial" w:cs="Arial"/>
          <w:b/>
          <w:sz w:val="20"/>
          <w:szCs w:val="20"/>
          <w:lang w:eastAsia="ru-RU"/>
        </w:rPr>
        <w:t xml:space="preserve">процесса): </w:t>
      </w:r>
      <w:r w:rsidR="00BC3640"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обеспечение сетевой организацией возможности осуществить действиями заявителя </w:t>
      </w:r>
      <w:proofErr w:type="spellStart"/>
      <w:r w:rsidR="00BC3640"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факитческое</w:t>
      </w:r>
      <w:proofErr w:type="spellEnd"/>
      <w:r w:rsidR="00BC3640"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="00BC3640"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энергопринимающими</w:t>
      </w:r>
      <w:proofErr w:type="spellEnd"/>
      <w:r w:rsidR="00BC3640"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p w:rsidR="00BC3640" w:rsidRPr="00BC3640" w:rsidRDefault="003D4897" w:rsidP="00BC3640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Общий срок оказания услуг</w:t>
      </w:r>
      <w:proofErr w:type="gramStart"/>
      <w:r w:rsidRPr="008D3408">
        <w:rPr>
          <w:rFonts w:ascii="Arial" w:hAnsi="Arial" w:cs="Arial"/>
          <w:b/>
          <w:sz w:val="20"/>
          <w:szCs w:val="20"/>
          <w:lang w:eastAsia="ru-RU"/>
        </w:rPr>
        <w:t>и(</w:t>
      </w:r>
      <w:proofErr w:type="gramEnd"/>
      <w:r w:rsidRPr="008D3408">
        <w:rPr>
          <w:rFonts w:ascii="Arial" w:hAnsi="Arial" w:cs="Arial"/>
          <w:b/>
          <w:sz w:val="20"/>
          <w:szCs w:val="20"/>
          <w:lang w:eastAsia="ru-RU"/>
        </w:rPr>
        <w:t xml:space="preserve">процесса): </w:t>
      </w:r>
      <w:r w:rsidR="00BC3640" w:rsidRPr="00BC3640">
        <w:rPr>
          <w:rFonts w:ascii="Arial" w:hAnsi="Arial" w:cs="Arial"/>
          <w:sz w:val="20"/>
          <w:szCs w:val="20"/>
          <w:lang w:eastAsia="ru-RU"/>
        </w:rPr>
        <w:t xml:space="preserve">в случаях осуществления технологического присоединения к электрическим сетям классом напряжения свыше 0,4 кВ,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BC3640" w:rsidRPr="00BC3640">
        <w:rPr>
          <w:rFonts w:ascii="Arial" w:hAnsi="Arial" w:cs="Arial"/>
          <w:sz w:val="20"/>
          <w:szCs w:val="20"/>
          <w:lang w:eastAsia="ru-RU"/>
        </w:rPr>
        <w:t>энергопринимающие</w:t>
      </w:r>
      <w:proofErr w:type="spellEnd"/>
      <w:r w:rsidR="00BC3640" w:rsidRPr="00BC3640">
        <w:rPr>
          <w:rFonts w:ascii="Arial" w:hAnsi="Arial" w:cs="Arial"/>
          <w:sz w:val="20"/>
          <w:szCs w:val="20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местности: </w:t>
      </w:r>
    </w:p>
    <w:p w:rsidR="00BC3640" w:rsidRPr="00BC3640" w:rsidRDefault="00BC3640" w:rsidP="00BC3640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C3640">
        <w:rPr>
          <w:rFonts w:ascii="Arial" w:hAnsi="Arial" w:cs="Arial"/>
          <w:sz w:val="20"/>
          <w:szCs w:val="20"/>
          <w:lang w:eastAsia="ru-RU"/>
        </w:rPr>
        <w:t xml:space="preserve">- если от сетевой организации не требуется выполнение работ по строительству (реконструкции) объектов </w:t>
      </w:r>
      <w:proofErr w:type="spellStart"/>
      <w:r w:rsidRPr="00BC3640">
        <w:rPr>
          <w:rFonts w:ascii="Arial" w:hAnsi="Arial" w:cs="Arial"/>
          <w:sz w:val="20"/>
          <w:szCs w:val="20"/>
          <w:lang w:eastAsia="ru-RU"/>
        </w:rPr>
        <w:t>электросетевого</w:t>
      </w:r>
      <w:proofErr w:type="spellEnd"/>
      <w:r w:rsidRPr="00BC3640">
        <w:rPr>
          <w:rFonts w:ascii="Arial" w:hAnsi="Arial" w:cs="Arial"/>
          <w:sz w:val="20"/>
          <w:szCs w:val="20"/>
          <w:lang w:eastAsia="ru-RU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BC3640">
        <w:rPr>
          <w:rFonts w:ascii="Arial" w:hAnsi="Arial" w:cs="Arial"/>
          <w:sz w:val="20"/>
          <w:szCs w:val="20"/>
          <w:lang w:eastAsia="ru-RU"/>
        </w:rPr>
        <w:t>электросетевого</w:t>
      </w:r>
      <w:proofErr w:type="spellEnd"/>
      <w:r w:rsidRPr="00BC3640">
        <w:rPr>
          <w:rFonts w:ascii="Arial" w:hAnsi="Arial" w:cs="Arial"/>
          <w:sz w:val="20"/>
          <w:szCs w:val="20"/>
          <w:lang w:eastAsia="ru-RU"/>
        </w:rPr>
        <w:t xml:space="preserve"> хозяйства от существующих объектов </w:t>
      </w:r>
      <w:proofErr w:type="spellStart"/>
      <w:r w:rsidRPr="00BC3640">
        <w:rPr>
          <w:rFonts w:ascii="Arial" w:hAnsi="Arial" w:cs="Arial"/>
          <w:sz w:val="20"/>
          <w:szCs w:val="20"/>
          <w:lang w:eastAsia="ru-RU"/>
        </w:rPr>
        <w:t>электросетевого</w:t>
      </w:r>
      <w:proofErr w:type="spellEnd"/>
      <w:r w:rsidRPr="00BC3640">
        <w:rPr>
          <w:rFonts w:ascii="Arial" w:hAnsi="Arial" w:cs="Arial"/>
          <w:sz w:val="20"/>
          <w:szCs w:val="20"/>
          <w:lang w:eastAsia="ru-RU"/>
        </w:rPr>
        <w:t xml:space="preserve"> хозяйства до присоединяемых энергопринимающих устройств и (или) объектов электроэнергетики - </w:t>
      </w:r>
      <w:r w:rsidRPr="00BC3640">
        <w:rPr>
          <w:rFonts w:ascii="Arial" w:hAnsi="Arial" w:cs="Arial"/>
          <w:b/>
          <w:sz w:val="20"/>
          <w:szCs w:val="20"/>
          <w:lang w:eastAsia="ru-RU"/>
        </w:rPr>
        <w:t>4 месяца с даты</w:t>
      </w:r>
      <w:proofErr w:type="gramEnd"/>
      <w:r w:rsidRPr="00BC3640">
        <w:rPr>
          <w:rFonts w:ascii="Arial" w:hAnsi="Arial" w:cs="Arial"/>
          <w:b/>
          <w:sz w:val="20"/>
          <w:szCs w:val="20"/>
          <w:lang w:eastAsia="ru-RU"/>
        </w:rPr>
        <w:t xml:space="preserve"> заключения договора;</w:t>
      </w:r>
      <w:r w:rsidRPr="00BC3640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BC3640" w:rsidRPr="00BC3640" w:rsidRDefault="00BC3640" w:rsidP="00BC3640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BC3640">
        <w:rPr>
          <w:rFonts w:ascii="Arial" w:hAnsi="Arial" w:cs="Arial"/>
          <w:sz w:val="20"/>
          <w:szCs w:val="20"/>
          <w:lang w:eastAsia="ru-RU"/>
        </w:rPr>
        <w:t xml:space="preserve">- в иных случаях – </w:t>
      </w:r>
      <w:r w:rsidRPr="00BC3640">
        <w:rPr>
          <w:rFonts w:ascii="Arial" w:hAnsi="Arial" w:cs="Arial"/>
          <w:b/>
          <w:sz w:val="20"/>
          <w:szCs w:val="20"/>
          <w:lang w:eastAsia="ru-RU"/>
        </w:rPr>
        <w:t xml:space="preserve">6 месяцев </w:t>
      </w:r>
      <w:proofErr w:type="gramStart"/>
      <w:r w:rsidRPr="00BC3640">
        <w:rPr>
          <w:rFonts w:ascii="Arial" w:hAnsi="Arial" w:cs="Arial"/>
          <w:b/>
          <w:sz w:val="20"/>
          <w:szCs w:val="20"/>
          <w:lang w:eastAsia="ru-RU"/>
        </w:rPr>
        <w:t>с даты заключения</w:t>
      </w:r>
      <w:proofErr w:type="gramEnd"/>
      <w:r w:rsidRPr="00BC3640">
        <w:rPr>
          <w:rFonts w:ascii="Arial" w:hAnsi="Arial" w:cs="Arial"/>
          <w:b/>
          <w:sz w:val="20"/>
          <w:szCs w:val="20"/>
          <w:lang w:eastAsia="ru-RU"/>
        </w:rPr>
        <w:t xml:space="preserve"> договора</w:t>
      </w:r>
      <w:r w:rsidRPr="00BC3640">
        <w:rPr>
          <w:rFonts w:ascii="Arial" w:hAnsi="Arial" w:cs="Arial"/>
          <w:sz w:val="20"/>
          <w:szCs w:val="20"/>
          <w:lang w:eastAsia="ru-RU"/>
        </w:rPr>
        <w:t>.</w:t>
      </w:r>
    </w:p>
    <w:p w:rsidR="003D4897" w:rsidRPr="008D3408" w:rsidRDefault="00BC3640" w:rsidP="00BC3640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BC3640">
        <w:rPr>
          <w:rFonts w:ascii="Arial" w:hAnsi="Arial" w:cs="Arial"/>
          <w:sz w:val="20"/>
          <w:szCs w:val="20"/>
          <w:lang w:eastAsia="ru-RU"/>
        </w:rPr>
        <w:t xml:space="preserve">При несоблюдении вышеописанных условий -  </w:t>
      </w:r>
      <w:r w:rsidRPr="00BC3640">
        <w:rPr>
          <w:rFonts w:ascii="Arial" w:hAnsi="Arial" w:cs="Arial"/>
          <w:b/>
          <w:sz w:val="20"/>
          <w:szCs w:val="20"/>
          <w:lang w:eastAsia="ru-RU"/>
        </w:rPr>
        <w:t xml:space="preserve">1 год </w:t>
      </w:r>
      <w:proofErr w:type="gramStart"/>
      <w:r w:rsidRPr="00BC3640">
        <w:rPr>
          <w:rFonts w:ascii="Arial" w:hAnsi="Arial" w:cs="Arial"/>
          <w:b/>
          <w:sz w:val="20"/>
          <w:szCs w:val="20"/>
          <w:lang w:eastAsia="ru-RU"/>
        </w:rPr>
        <w:t>с даты заключения</w:t>
      </w:r>
      <w:proofErr w:type="gramEnd"/>
      <w:r w:rsidRPr="00BC3640">
        <w:rPr>
          <w:rFonts w:ascii="Arial" w:hAnsi="Arial" w:cs="Arial"/>
          <w:b/>
          <w:sz w:val="20"/>
          <w:szCs w:val="20"/>
          <w:lang w:eastAsia="ru-RU"/>
        </w:rPr>
        <w:t xml:space="preserve"> договора</w:t>
      </w:r>
      <w:r w:rsidRPr="00BC3640">
        <w:rPr>
          <w:rFonts w:ascii="Arial" w:hAnsi="Arial" w:cs="Arial"/>
          <w:sz w:val="20"/>
          <w:szCs w:val="20"/>
          <w:lang w:eastAsia="ru-RU"/>
        </w:rPr>
        <w:t>.</w:t>
      </w:r>
    </w:p>
    <w:p w:rsidR="003D4897" w:rsidRDefault="003D4897" w:rsidP="003D4897">
      <w:pPr>
        <w:pStyle w:val="a6"/>
        <w:ind w:right="-195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tbl>
      <w:tblPr>
        <w:tblW w:w="15877" w:type="dxa"/>
        <w:tblInd w:w="-142" w:type="dxa"/>
        <w:tblLayout w:type="fixed"/>
        <w:tblLook w:val="04A0"/>
      </w:tblPr>
      <w:tblGrid>
        <w:gridCol w:w="527"/>
        <w:gridCol w:w="1706"/>
        <w:gridCol w:w="1989"/>
        <w:gridCol w:w="3411"/>
        <w:gridCol w:w="3837"/>
        <w:gridCol w:w="1706"/>
        <w:gridCol w:w="2701"/>
      </w:tblGrid>
      <w:tr w:rsidR="00EA036F" w:rsidRPr="005C76B8" w:rsidTr="003D5C18">
        <w:trPr>
          <w:trHeight w:val="8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C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C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C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Условие этапа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EA036F" w:rsidRPr="005C76B8" w:rsidTr="003D5C18">
        <w:trPr>
          <w:trHeight w:val="3660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 и 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 в сетевую организацию заявителем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Заявитель  направляет заявку на технологическое присоединение.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заявке прилагаются документы в соответствии с Правилами технологического присоединения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Электронная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потребителя, определяемый в соответствии с едиными стандартами качества обслуживания сетевыми организациями потребителей услуг сетевых организаций, на безвозмездной основе.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 Х Правил технологического присоединения</w:t>
            </w:r>
          </w:p>
        </w:tc>
      </w:tr>
      <w:tr w:rsidR="00EA036F" w:rsidRPr="005C76B8" w:rsidTr="003D5C18">
        <w:trPr>
          <w:trHeight w:val="120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Направление сетевой организацией в адрес субъекта розничного рынка, указанного в заявке, с которым заявитель намеревается заключить договор, обеспечивающий продажу электрической энергии (мощности) на розничном рынке, копию заявки, а также копии документов, прилагаемых к заявке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письменном или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2 рабочих дней со дня поступления заявки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Пункт 107 раздела Х  Правил технологического присоединения </w:t>
            </w:r>
          </w:p>
        </w:tc>
      </w:tr>
      <w:tr w:rsidR="00EA036F" w:rsidRPr="005C76B8" w:rsidTr="003D5C18">
        <w:trPr>
          <w:trHeight w:val="489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Отсутствие в заявке сведений и документов, указанных в п.  9, 10 и 14, 12(1) Правил технологического присоединения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заявки на технологическое присоединение, а также прилагаемых документов.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отсутствии сведений и документов, указанных в пунктах 9, 10 и 14, 12(1) Правил технологического присоединения, сетевая организация направляет заявителю уведомление содержащее указание на сведения (документы), которые в соответствии с Правилами технологического присоединения должны быть представлены заявителем в дополнение к представленным сведениям (документам), а также указание на необходимость их представления в течение 20 рабочих дней со дня получения уведомления</w:t>
            </w:r>
            <w:proofErr w:type="gramEnd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представить недостающие сведения и (или) документы и приостанавливает рассмотрение заявки до получения недостающих сведений и документов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  <w:proofErr w:type="gramEnd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рабочих дня со дня получения заявки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Пункт 15 раздела II Правил технологического присоединения </w:t>
            </w:r>
          </w:p>
        </w:tc>
      </w:tr>
      <w:tr w:rsidR="00EA036F" w:rsidRPr="005C76B8" w:rsidTr="003D5C18">
        <w:trPr>
          <w:trHeight w:val="120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Аннулирование заявки и уведомление об этом заявителя, в случае, если заявитель не </w:t>
            </w:r>
            <w:proofErr w:type="gramStart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предоставил недостающие документы</w:t>
            </w:r>
            <w:proofErr w:type="gramEnd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сведения в течение 20 рабочих дней со дня получения уведомления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  <w:proofErr w:type="gramEnd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рабочих дня со дня принятия решения об аннулировании заявки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A036F" w:rsidRPr="005C76B8" w:rsidTr="003D5C18">
        <w:trPr>
          <w:trHeight w:val="636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Заявка, соответствующая требованиям Правил технологического присоединения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Сетевая организация размещает в Личном кабинете потребителя: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условия типового договора об осуществлении технологического присоединения к электрическим сетям;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счет для внесения платы (части платы) за технологическое присоединение;</w:t>
            </w:r>
            <w:proofErr w:type="gramStart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технические условия, содержащие перечень мероприятий по технологическому присоединению;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проект договора, обеспечивающего продажу электрической энергии (мощности) на розничном рынке, подписанный усиленной квалифицированной электронной подписью уполномоченного лица гарантирующего поставщика, указанного в заявке;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инструкцию, содержащую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  <w:proofErr w:type="gramEnd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рабочих дней со дня поступления заявки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Пункт 105 раздела Х Правил технологического присоединения </w:t>
            </w:r>
          </w:p>
        </w:tc>
      </w:tr>
      <w:tr w:rsidR="00EA036F" w:rsidRPr="005C76B8" w:rsidTr="003D5C18">
        <w:trPr>
          <w:trHeight w:val="254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заявителем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счета, выставленного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сетевой организацией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Сетевая организация уведомляет заявителя о заключении договора об осуществлении технологического присоединения по факту оплаты счета (части платы) за технологическое присоединение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  <w:proofErr w:type="gramEnd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счета заявителем - в течение 5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рабочих дней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 дня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выставления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сетевой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организацией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счета;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уведомление заявителя - по факту поступления оплаты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106 раздела Х Правил технологического присоединения</w:t>
            </w:r>
          </w:p>
        </w:tc>
      </w:tr>
      <w:tr w:rsidR="00EA036F" w:rsidRPr="005C76B8" w:rsidTr="003D5C18">
        <w:trPr>
          <w:trHeight w:val="205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Уведомление субъекта розничного рынка, указанного в заявке об оплате счета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A036F" w:rsidRPr="005C76B8" w:rsidTr="003D5C18">
        <w:trPr>
          <w:trHeight w:val="231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Несоблюдение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обязанности по оплате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выставленного счета в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установленный срок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Аннулирование заявки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  <w:proofErr w:type="gramEnd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истечении 5 рабочих дней со дня выставленного сетевой организацией счета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A036F" w:rsidRPr="005C76B8" w:rsidTr="003D5C18">
        <w:trPr>
          <w:trHeight w:val="186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Уведомление сетевой организацией субъекта розничного рынка, указанного в заявке, об аннулировании заявки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2 рабочих дней со дня истечения срока оплаты счета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A036F" w:rsidRPr="005C76B8" w:rsidTr="003D5C18">
        <w:trPr>
          <w:trHeight w:val="3210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  <w:t>Фактическое присоединение и фактическая подача напряжения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мероприятий со стороны сетевой организации осуществляется вне зависимости от исполнения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обязательств заявителем (за исключением обязательств по оплате счета)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энергопринимающими</w:t>
            </w:r>
            <w:proofErr w:type="spellEnd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устройствами заявителя электрической энергии (мощности).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</w:t>
            </w:r>
            <w:proofErr w:type="gramEnd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сетевой организацией технических условий, включая установку и допуск в эксплуатацию приборов учета электрической энергии и мощности.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сроки, указанные в договоре технологического присоединения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108, 109 раздела Х Правил технологического присоединения</w:t>
            </w:r>
          </w:p>
        </w:tc>
      </w:tr>
      <w:tr w:rsidR="00EA036F" w:rsidRPr="005C76B8" w:rsidTr="003D5C18">
        <w:trPr>
          <w:trHeight w:val="24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Размещение сетевой организацией в Личном кабинете потребителя: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акта допуска прибора учета в эксплуатацию;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акта о выполнении технических условий, содержащий перечень мероприятий, реализованных в соответствии с техническими условиями (подписанного усиленной квалифицированной электронной подписью уполномоченного лица сетевой организации);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акта об осуществлении технологического присоединения (подписанного усиленной квалифицированной электронной подписью уполномоченного лица сетевой организации)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  <w:proofErr w:type="gramEnd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окончания рабочего дня осуществления допуска в эксплуатацию прибора учета - для акта допуска прибора учета в эксплуатацию;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 позднее окончания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рабочего дня, в течение которого были составлены указанные документы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109, 110 раздела Х Правил технологического присоединения</w:t>
            </w:r>
          </w:p>
        </w:tc>
      </w:tr>
      <w:tr w:rsidR="00EA036F" w:rsidRPr="005C76B8" w:rsidTr="003D5C18">
        <w:trPr>
          <w:trHeight w:val="36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Уведомление заявителя о составлении и направлении в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клиента 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об осуществлении технологического присоединения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  <w:proofErr w:type="gramEnd"/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110 раздела Х Правил технологического присоединения</w:t>
            </w:r>
          </w:p>
        </w:tc>
      </w:tr>
      <w:tr w:rsidR="00EA036F" w:rsidRPr="005C76B8" w:rsidTr="003D5C18">
        <w:trPr>
          <w:trHeight w:val="7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Уведомление гарантирующего поставщика о составлении и направлении в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акта об осуществлении технологического присоединения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F" w:rsidRPr="005C76B8" w:rsidRDefault="00EA036F" w:rsidP="003D5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111 раздела Х Правил технологического присоединения</w:t>
            </w:r>
          </w:p>
        </w:tc>
      </w:tr>
    </w:tbl>
    <w:p w:rsidR="003D4897" w:rsidRPr="008D3408" w:rsidRDefault="003D4897" w:rsidP="003D4897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3D4897" w:rsidRPr="001F2942" w:rsidRDefault="003D4897" w:rsidP="003D4897">
      <w:pPr>
        <w:spacing w:after="0" w:line="180" w:lineRule="exact"/>
        <w:ind w:left="-142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D4897" w:rsidRPr="006411EE" w:rsidRDefault="003D4897" w:rsidP="003D4897">
      <w:pPr>
        <w:spacing w:after="0" w:line="180" w:lineRule="exact"/>
        <w:ind w:left="357"/>
        <w:rPr>
          <w:i/>
          <w:sz w:val="16"/>
          <w:szCs w:val="16"/>
        </w:rPr>
      </w:pPr>
    </w:p>
    <w:p w:rsidR="008A1E0B" w:rsidRPr="003D4897" w:rsidRDefault="00BC3640" w:rsidP="003D4897">
      <w:pPr>
        <w:rPr>
          <w:szCs w:val="16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</w:t>
      </w:r>
      <w:r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электросетевого</w:t>
      </w:r>
      <w:proofErr w:type="spellEnd"/>
      <w:r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sectPr w:rsidR="008A1E0B" w:rsidRPr="003D4897" w:rsidSect="00EA036F">
      <w:footerReference w:type="even" r:id="rId7"/>
      <w:footerReference w:type="first" r:id="rId8"/>
      <w:pgSz w:w="16838" w:h="11906" w:orient="landscape"/>
      <w:pgMar w:top="720" w:right="720" w:bottom="426" w:left="720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30" w:rsidRDefault="000E3D30" w:rsidP="000E3D30">
      <w:pPr>
        <w:spacing w:after="0" w:line="240" w:lineRule="auto"/>
      </w:pPr>
      <w:r>
        <w:separator/>
      </w:r>
    </w:p>
  </w:endnote>
  <w:end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DE004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624pt;margin-top:0;width:2in;height:8pt;z-index:251658240;mso-position-horizontal:right" fillcolor="black">
          <v:textpath style="font-family:&quot;Tahoma&quot;;font-size:8pt" string="Рег. номер WSS Docs: ЭСЗ-С-2019-687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DE004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position:absolute;margin-left:624pt;margin-top:0;width:2in;height:8pt;z-index:251659264;mso-position-horizontal:right" fillcolor="black">
          <v:textpath style="font-family:&quot;Tahoma&quot;;font-size:8pt" string="Рег. номер WSS Docs: ЭСЗ-С-2019-687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30" w:rsidRDefault="000E3D30" w:rsidP="000E3D30">
      <w:pPr>
        <w:spacing w:after="0" w:line="240" w:lineRule="auto"/>
      </w:pPr>
      <w:r>
        <w:separator/>
      </w:r>
    </w:p>
  </w:footnote>
  <w:foot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7C7"/>
    <w:multiLevelType w:val="hybridMultilevel"/>
    <w:tmpl w:val="C07280DC"/>
    <w:lvl w:ilvl="0" w:tplc="A10E3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EAE1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0D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2C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87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1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00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83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E2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E50"/>
    <w:multiLevelType w:val="hybridMultilevel"/>
    <w:tmpl w:val="90DCD170"/>
    <w:lvl w:ilvl="0" w:tplc="A8904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4F0A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62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0B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E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AA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48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0E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4F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D30"/>
    <w:rsid w:val="000037B2"/>
    <w:rsid w:val="000E3D30"/>
    <w:rsid w:val="002024A4"/>
    <w:rsid w:val="002D32DA"/>
    <w:rsid w:val="003D4897"/>
    <w:rsid w:val="007F3D29"/>
    <w:rsid w:val="00BC3640"/>
    <w:rsid w:val="00DE0047"/>
    <w:rsid w:val="00E91638"/>
    <w:rsid w:val="00EA036F"/>
    <w:rsid w:val="00EB11A3"/>
    <w:rsid w:val="00F1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2F2B"/>
    <w:rPr>
      <w:color w:val="0000FF" w:themeColor="hyperlink"/>
      <w:u w:val="single"/>
    </w:rPr>
  </w:style>
  <w:style w:type="paragraph" w:styleId="a6">
    <w:name w:val="No Spacing"/>
    <w:uiPriority w:val="1"/>
    <w:qFormat/>
    <w:rsid w:val="00F86C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6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F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Оксана</cp:lastModifiedBy>
  <cp:revision>18</cp:revision>
  <dcterms:created xsi:type="dcterms:W3CDTF">2018-03-30T03:45:00Z</dcterms:created>
  <dcterms:modified xsi:type="dcterms:W3CDTF">2022-03-01T05:16:00Z</dcterms:modified>
</cp:coreProperties>
</file>